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6391" w:rsidRDefault="004830CD" w:rsidP="004830CD">
      <w:pPr>
        <w:jc w:val="center"/>
        <w:rPr>
          <w:rFonts w:ascii="Times New Roman" w:hAnsi="Times New Roman" w:cs="Times New Roman"/>
          <w:sz w:val="24"/>
        </w:rPr>
      </w:pPr>
      <w:r w:rsidRPr="004830CD">
        <w:rPr>
          <w:rFonts w:ascii="Times New Roman" w:hAnsi="Times New Roman" w:cs="Times New Roman"/>
          <w:sz w:val="24"/>
        </w:rPr>
        <w:t xml:space="preserve">Перечень иностранных арбитражных учреждений, признаваемых постоянно действующими арбитражными учреждениями в соответствии </w:t>
      </w:r>
      <w:r w:rsidR="00633388" w:rsidRPr="00633388">
        <w:rPr>
          <w:rFonts w:ascii="Times New Roman" w:hAnsi="Times New Roman" w:cs="Times New Roman"/>
          <w:sz w:val="24"/>
        </w:rPr>
        <w:br/>
      </w:r>
      <w:r w:rsidRPr="004830CD">
        <w:rPr>
          <w:rFonts w:ascii="Times New Roman" w:hAnsi="Times New Roman" w:cs="Times New Roman"/>
          <w:sz w:val="24"/>
        </w:rPr>
        <w:t>с Федеральным законом от 29.12.2015 № 382-ФЗ «Об арбитраже (третейском разбирательстве) в Российской Федерации»</w:t>
      </w:r>
    </w:p>
    <w:p w:rsidR="004830CD" w:rsidRDefault="004830CD" w:rsidP="004830CD">
      <w:pPr>
        <w:jc w:val="center"/>
        <w:rPr>
          <w:rFonts w:ascii="Times New Roman" w:hAnsi="Times New Roman" w:cs="Times New Roman"/>
          <w:sz w:val="24"/>
        </w:rPr>
      </w:pPr>
    </w:p>
    <w:tbl>
      <w:tblPr>
        <w:tblStyle w:val="a3"/>
        <w:tblW w:w="15593" w:type="dxa"/>
        <w:tblInd w:w="-176" w:type="dxa"/>
        <w:tblLook w:val="04A0" w:firstRow="1" w:lastRow="0" w:firstColumn="1" w:lastColumn="0" w:noHBand="0" w:noVBand="1"/>
      </w:tblPr>
      <w:tblGrid>
        <w:gridCol w:w="809"/>
        <w:gridCol w:w="4665"/>
        <w:gridCol w:w="4100"/>
        <w:gridCol w:w="3216"/>
        <w:gridCol w:w="2803"/>
      </w:tblGrid>
      <w:tr w:rsidR="007E5570" w:rsidTr="009C16B3">
        <w:tc>
          <w:tcPr>
            <w:tcW w:w="809" w:type="dxa"/>
            <w:vAlign w:val="center"/>
          </w:tcPr>
          <w:p w:rsidR="007E5570" w:rsidRPr="00CE6B50" w:rsidRDefault="007E5570" w:rsidP="009C16B3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E6B50">
              <w:rPr>
                <w:rFonts w:ascii="Times New Roman" w:hAnsi="Times New Roman" w:cs="Times New Roman"/>
                <w:b/>
                <w:sz w:val="24"/>
              </w:rPr>
              <w:t>№ п/п</w:t>
            </w:r>
          </w:p>
        </w:tc>
        <w:tc>
          <w:tcPr>
            <w:tcW w:w="4665" w:type="dxa"/>
            <w:vAlign w:val="center"/>
          </w:tcPr>
          <w:p w:rsidR="007E5570" w:rsidRPr="00CE6B50" w:rsidRDefault="007E5570" w:rsidP="009C16B3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E6B50">
              <w:rPr>
                <w:rFonts w:ascii="Times New Roman" w:hAnsi="Times New Roman" w:cs="Times New Roman"/>
                <w:b/>
                <w:sz w:val="24"/>
              </w:rPr>
              <w:t>Наименование иностранного арбитражного учреждения</w:t>
            </w:r>
          </w:p>
        </w:tc>
        <w:tc>
          <w:tcPr>
            <w:tcW w:w="4100" w:type="dxa"/>
            <w:vAlign w:val="center"/>
          </w:tcPr>
          <w:p w:rsidR="007E5570" w:rsidRPr="00CE6B50" w:rsidRDefault="007E5570" w:rsidP="009C16B3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E6B50">
              <w:rPr>
                <w:rFonts w:ascii="Times New Roman" w:hAnsi="Times New Roman" w:cs="Times New Roman"/>
                <w:b/>
                <w:sz w:val="24"/>
              </w:rPr>
              <w:t xml:space="preserve">Дата выдачи рекомендации </w:t>
            </w:r>
            <w:r w:rsidR="009C16B3" w:rsidRPr="00CE6B50">
              <w:rPr>
                <w:rFonts w:ascii="Times New Roman" w:hAnsi="Times New Roman" w:cs="Times New Roman"/>
                <w:b/>
                <w:sz w:val="24"/>
              </w:rPr>
              <w:br/>
            </w:r>
            <w:r w:rsidRPr="00CE6B50">
              <w:rPr>
                <w:rFonts w:ascii="Times New Roman" w:hAnsi="Times New Roman" w:cs="Times New Roman"/>
                <w:b/>
                <w:sz w:val="24"/>
              </w:rPr>
              <w:t xml:space="preserve">о предоставлении права </w:t>
            </w:r>
            <w:r w:rsidR="009C16B3" w:rsidRPr="00CE6B50">
              <w:rPr>
                <w:rFonts w:ascii="Times New Roman" w:hAnsi="Times New Roman" w:cs="Times New Roman"/>
                <w:b/>
                <w:sz w:val="24"/>
              </w:rPr>
              <w:br/>
            </w:r>
            <w:r w:rsidRPr="00CE6B50">
              <w:rPr>
                <w:rFonts w:ascii="Times New Roman" w:hAnsi="Times New Roman" w:cs="Times New Roman"/>
                <w:b/>
                <w:sz w:val="24"/>
              </w:rPr>
              <w:t>на осуществление функций постоянно действующего арбитражного учреждения Советом по совершенствованию третейского разбирательства</w:t>
            </w:r>
          </w:p>
        </w:tc>
        <w:tc>
          <w:tcPr>
            <w:tcW w:w="3216" w:type="dxa"/>
            <w:vAlign w:val="center"/>
          </w:tcPr>
          <w:p w:rsidR="007E5570" w:rsidRPr="00CE6B50" w:rsidRDefault="007E5570" w:rsidP="009C16B3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E6B50">
              <w:rPr>
                <w:rFonts w:ascii="Times New Roman" w:hAnsi="Times New Roman" w:cs="Times New Roman"/>
                <w:b/>
                <w:sz w:val="24"/>
              </w:rPr>
              <w:t xml:space="preserve">Дата решения Министерства юстиции Российской Федерации о включении иностранного учреждения </w:t>
            </w:r>
            <w:r w:rsidR="009C16B3" w:rsidRPr="00CE6B50">
              <w:rPr>
                <w:rFonts w:ascii="Times New Roman" w:hAnsi="Times New Roman" w:cs="Times New Roman"/>
                <w:b/>
                <w:sz w:val="24"/>
              </w:rPr>
              <w:br/>
            </w:r>
            <w:r w:rsidRPr="00CE6B50">
              <w:rPr>
                <w:rFonts w:ascii="Times New Roman" w:hAnsi="Times New Roman" w:cs="Times New Roman"/>
                <w:b/>
                <w:sz w:val="24"/>
              </w:rPr>
              <w:t>в перечень иностранных арбитражных учреждений, признаваемых постоянно действующими арбитражными учреждениями</w:t>
            </w:r>
          </w:p>
        </w:tc>
        <w:tc>
          <w:tcPr>
            <w:tcW w:w="2803" w:type="dxa"/>
            <w:vAlign w:val="center"/>
          </w:tcPr>
          <w:p w:rsidR="007E5570" w:rsidRPr="00CE6B50" w:rsidRDefault="007E5570" w:rsidP="009C16B3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E6B50">
              <w:rPr>
                <w:rFonts w:ascii="Times New Roman" w:hAnsi="Times New Roman" w:cs="Times New Roman"/>
                <w:b/>
                <w:sz w:val="24"/>
              </w:rPr>
              <w:t>Наличие на территории Российской Федерации обособленного подразделения иностранного арбитражного учреждения либо организации, при которой создано иностранное арбитражное учреждение</w:t>
            </w:r>
          </w:p>
        </w:tc>
      </w:tr>
      <w:tr w:rsidR="007E5570" w:rsidTr="007E5570">
        <w:tc>
          <w:tcPr>
            <w:tcW w:w="809" w:type="dxa"/>
            <w:vAlign w:val="center"/>
          </w:tcPr>
          <w:p w:rsidR="007E5570" w:rsidRDefault="007E5570" w:rsidP="007E557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1.</w:t>
            </w:r>
          </w:p>
        </w:tc>
        <w:tc>
          <w:tcPr>
            <w:tcW w:w="4665" w:type="dxa"/>
          </w:tcPr>
          <w:p w:rsidR="007E5570" w:rsidRPr="007E5570" w:rsidRDefault="007E5570" w:rsidP="00CE6B50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Гонконгский международный арбитражный центр (ГМАЦ) – 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Hong</w:t>
            </w:r>
            <w:r w:rsidRPr="007E5570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Kong</w:t>
            </w:r>
            <w:r w:rsidRPr="007E5570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International</w:t>
            </w:r>
            <w:r w:rsidRPr="007E5570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Arbitration</w:t>
            </w:r>
            <w:r w:rsidRPr="007E5570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Centre</w:t>
            </w:r>
            <w:r w:rsidRPr="007E5570">
              <w:rPr>
                <w:rFonts w:ascii="Times New Roman" w:hAnsi="Times New Roman" w:cs="Times New Roman"/>
                <w:sz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HKIAC</w:t>
            </w:r>
            <w:r w:rsidRPr="007E5570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4100" w:type="dxa"/>
            <w:vAlign w:val="center"/>
          </w:tcPr>
          <w:p w:rsidR="007E5570" w:rsidRPr="007E5570" w:rsidRDefault="007E5570" w:rsidP="007E557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04.04.2019</w:t>
            </w:r>
          </w:p>
        </w:tc>
        <w:tc>
          <w:tcPr>
            <w:tcW w:w="3216" w:type="dxa"/>
            <w:vAlign w:val="center"/>
          </w:tcPr>
          <w:p w:rsidR="007E5570" w:rsidRDefault="007E5570" w:rsidP="007E557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25.04.2019 </w:t>
            </w:r>
          </w:p>
        </w:tc>
        <w:tc>
          <w:tcPr>
            <w:tcW w:w="2803" w:type="dxa"/>
            <w:vAlign w:val="center"/>
          </w:tcPr>
          <w:p w:rsidR="007E5570" w:rsidRDefault="007E5570" w:rsidP="007E557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нет</w:t>
            </w:r>
          </w:p>
        </w:tc>
      </w:tr>
      <w:tr w:rsidR="009C16B3" w:rsidRPr="009C16B3" w:rsidTr="007E5570">
        <w:tc>
          <w:tcPr>
            <w:tcW w:w="809" w:type="dxa"/>
            <w:vAlign w:val="center"/>
          </w:tcPr>
          <w:p w:rsidR="009C16B3" w:rsidRDefault="009C16B3" w:rsidP="007E557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2.</w:t>
            </w:r>
          </w:p>
        </w:tc>
        <w:tc>
          <w:tcPr>
            <w:tcW w:w="4665" w:type="dxa"/>
          </w:tcPr>
          <w:p w:rsidR="009C16B3" w:rsidRPr="009C16B3" w:rsidRDefault="009C16B3" w:rsidP="00CE6B50">
            <w:pPr>
              <w:jc w:val="both"/>
              <w:rPr>
                <w:rFonts w:ascii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</w:rPr>
              <w:t>Венский</w:t>
            </w:r>
            <w:r w:rsidRPr="009C16B3">
              <w:rPr>
                <w:rFonts w:ascii="Times New Roman" w:hAnsi="Times New Roman" w:cs="Times New Roman"/>
                <w:sz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международный</w:t>
            </w:r>
            <w:r w:rsidRPr="009C16B3">
              <w:rPr>
                <w:rFonts w:ascii="Times New Roman" w:hAnsi="Times New Roman" w:cs="Times New Roman"/>
                <w:sz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арбитражный</w:t>
            </w:r>
            <w:r w:rsidRPr="009C16B3">
              <w:rPr>
                <w:rFonts w:ascii="Times New Roman" w:hAnsi="Times New Roman" w:cs="Times New Roman"/>
                <w:sz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центр</w:t>
            </w:r>
            <w:r w:rsidRPr="009C16B3">
              <w:rPr>
                <w:rFonts w:ascii="Times New Roman" w:hAnsi="Times New Roman" w:cs="Times New Roman"/>
                <w:sz w:val="24"/>
                <w:lang w:val="en-US"/>
              </w:rPr>
              <w:t xml:space="preserve"> – 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Vienna</w:t>
            </w:r>
            <w:r w:rsidRPr="009C16B3">
              <w:rPr>
                <w:rFonts w:ascii="Times New Roman" w:hAnsi="Times New Roman" w:cs="Times New Roman"/>
                <w:sz w:val="24"/>
                <w:lang w:val="en-US"/>
              </w:rPr>
              <w:t xml:space="preserve"> International Arbitral Centre (VIAC)</w:t>
            </w:r>
          </w:p>
        </w:tc>
        <w:tc>
          <w:tcPr>
            <w:tcW w:w="4100" w:type="dxa"/>
            <w:vAlign w:val="center"/>
          </w:tcPr>
          <w:p w:rsidR="009C16B3" w:rsidRPr="009C16B3" w:rsidRDefault="009C16B3" w:rsidP="007E5570">
            <w:pPr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1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lang w:val="en-US"/>
              </w:rPr>
              <w:t>8</w:t>
            </w:r>
            <w:r>
              <w:rPr>
                <w:rFonts w:ascii="Times New Roman" w:hAnsi="Times New Roman" w:cs="Times New Roman"/>
                <w:sz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06</w:t>
            </w:r>
            <w:r>
              <w:rPr>
                <w:rFonts w:ascii="Times New Roman" w:hAnsi="Times New Roman" w:cs="Times New Roman"/>
                <w:sz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2019</w:t>
            </w:r>
          </w:p>
        </w:tc>
        <w:tc>
          <w:tcPr>
            <w:tcW w:w="3216" w:type="dxa"/>
            <w:vAlign w:val="center"/>
          </w:tcPr>
          <w:p w:rsidR="009C16B3" w:rsidRPr="009C16B3" w:rsidRDefault="009C16B3" w:rsidP="007E557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04.07.2019</w:t>
            </w:r>
          </w:p>
        </w:tc>
        <w:tc>
          <w:tcPr>
            <w:tcW w:w="2803" w:type="dxa"/>
            <w:vAlign w:val="center"/>
          </w:tcPr>
          <w:p w:rsidR="009C16B3" w:rsidRPr="009C16B3" w:rsidRDefault="009C16B3" w:rsidP="007E557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нет</w:t>
            </w:r>
          </w:p>
        </w:tc>
      </w:tr>
      <w:tr w:rsidR="00A2778D" w:rsidRPr="009C16B3" w:rsidTr="007E5570">
        <w:tc>
          <w:tcPr>
            <w:tcW w:w="809" w:type="dxa"/>
            <w:vAlign w:val="center"/>
          </w:tcPr>
          <w:p w:rsidR="00A2778D" w:rsidRPr="00AE1EEF" w:rsidRDefault="00A2778D" w:rsidP="00A240B9">
            <w:pPr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.</w:t>
            </w:r>
          </w:p>
        </w:tc>
        <w:tc>
          <w:tcPr>
            <w:tcW w:w="4665" w:type="dxa"/>
          </w:tcPr>
          <w:p w:rsidR="00A2778D" w:rsidRPr="00AE1EEF" w:rsidRDefault="00A2778D" w:rsidP="00CE6B50">
            <w:pPr>
              <w:jc w:val="both"/>
              <w:rPr>
                <w:rFonts w:ascii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</w:rPr>
              <w:t>Сингапурский</w:t>
            </w:r>
            <w:r w:rsidRPr="00AE1EEF">
              <w:rPr>
                <w:rFonts w:ascii="Times New Roman" w:hAnsi="Times New Roman" w:cs="Times New Roman"/>
                <w:sz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международный</w:t>
            </w:r>
            <w:r w:rsidRPr="00AE1EEF">
              <w:rPr>
                <w:rFonts w:ascii="Times New Roman" w:hAnsi="Times New Roman" w:cs="Times New Roman"/>
                <w:sz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арбитражный</w:t>
            </w:r>
            <w:r w:rsidRPr="00AE1EEF">
              <w:rPr>
                <w:rFonts w:ascii="Times New Roman" w:hAnsi="Times New Roman" w:cs="Times New Roman"/>
                <w:sz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центр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 xml:space="preserve"> </w:t>
            </w:r>
            <w:r w:rsidRPr="00AE1EEF">
              <w:rPr>
                <w:rFonts w:ascii="Times New Roman" w:hAnsi="Times New Roman" w:cs="Times New Roman"/>
                <w:sz w:val="24"/>
                <w:lang w:val="en-US"/>
              </w:rPr>
              <w:t xml:space="preserve">– 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Singapore</w:t>
            </w:r>
            <w:r w:rsidRPr="00AE1EEF">
              <w:rPr>
                <w:rFonts w:ascii="Times New Roman" w:hAnsi="Times New Roman" w:cs="Times New Roman"/>
                <w:sz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International</w:t>
            </w:r>
            <w:r w:rsidRPr="00AE1EEF">
              <w:rPr>
                <w:rFonts w:ascii="Times New Roman" w:hAnsi="Times New Roman" w:cs="Times New Roman"/>
                <w:sz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Arbitration</w:t>
            </w:r>
            <w:r w:rsidRPr="00AE1EEF">
              <w:rPr>
                <w:rFonts w:ascii="Times New Roman" w:hAnsi="Times New Roman" w:cs="Times New Roman"/>
                <w:sz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Centre</w:t>
            </w:r>
            <w:r w:rsidRPr="00AE1EEF">
              <w:rPr>
                <w:rFonts w:ascii="Times New Roman" w:hAnsi="Times New Roman" w:cs="Times New Roman"/>
                <w:sz w:val="24"/>
                <w:lang w:val="en-US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SIAC</w:t>
            </w:r>
            <w:r w:rsidRPr="00AE1EEF">
              <w:rPr>
                <w:rFonts w:ascii="Times New Roman" w:hAnsi="Times New Roman" w:cs="Times New Roman"/>
                <w:sz w:val="24"/>
                <w:lang w:val="en-US"/>
              </w:rPr>
              <w:t>)</w:t>
            </w:r>
          </w:p>
        </w:tc>
        <w:tc>
          <w:tcPr>
            <w:tcW w:w="4100" w:type="dxa"/>
            <w:vAlign w:val="center"/>
          </w:tcPr>
          <w:p w:rsidR="00A2778D" w:rsidRPr="00AE1EEF" w:rsidRDefault="00A2778D" w:rsidP="00A240B9">
            <w:pPr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30</w:t>
            </w:r>
            <w:r>
              <w:rPr>
                <w:rFonts w:ascii="Times New Roman" w:hAnsi="Times New Roman" w:cs="Times New Roman"/>
                <w:sz w:val="24"/>
              </w:rPr>
              <w:t>.04.20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21</w:t>
            </w:r>
          </w:p>
        </w:tc>
        <w:tc>
          <w:tcPr>
            <w:tcW w:w="3216" w:type="dxa"/>
            <w:vAlign w:val="center"/>
          </w:tcPr>
          <w:p w:rsidR="00A2778D" w:rsidRDefault="00A2778D" w:rsidP="00A240B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E1EEF">
              <w:rPr>
                <w:rFonts w:ascii="Times New Roman" w:hAnsi="Times New Roman" w:cs="Times New Roman"/>
                <w:sz w:val="24"/>
              </w:rPr>
              <w:t>18.05.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2021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803" w:type="dxa"/>
            <w:vAlign w:val="center"/>
          </w:tcPr>
          <w:p w:rsidR="00A2778D" w:rsidRDefault="00A2778D" w:rsidP="00A240B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нет</w:t>
            </w:r>
          </w:p>
        </w:tc>
      </w:tr>
      <w:tr w:rsidR="00A2778D" w:rsidRPr="009C16B3" w:rsidTr="007E5570">
        <w:tc>
          <w:tcPr>
            <w:tcW w:w="809" w:type="dxa"/>
            <w:vAlign w:val="center"/>
          </w:tcPr>
          <w:p w:rsidR="00A2778D" w:rsidRDefault="00A2778D" w:rsidP="00A240B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4.</w:t>
            </w:r>
          </w:p>
        </w:tc>
        <w:tc>
          <w:tcPr>
            <w:tcW w:w="4665" w:type="dxa"/>
          </w:tcPr>
          <w:p w:rsidR="00A2778D" w:rsidRPr="00DF7C8C" w:rsidRDefault="00A2778D" w:rsidP="00CE6B50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Международный арбитражный суд при Международной торговой палате (Суд 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ICC</w:t>
            </w:r>
            <w:r>
              <w:rPr>
                <w:rFonts w:ascii="Times New Roman" w:hAnsi="Times New Roman" w:cs="Times New Roman"/>
                <w:sz w:val="24"/>
              </w:rPr>
              <w:t>) –</w:t>
            </w:r>
            <w:r w:rsidRPr="00DF7C8C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The</w:t>
            </w:r>
            <w:r w:rsidRPr="00DF7C8C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ICC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International</w:t>
            </w:r>
            <w:r w:rsidRPr="00AE1EEF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Court</w:t>
            </w:r>
            <w:r w:rsidRPr="00DF7C8C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of</w:t>
            </w:r>
            <w:r w:rsidRPr="00DF7C8C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Arbitration</w:t>
            </w:r>
            <w:r w:rsidRPr="00DF7C8C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4100" w:type="dxa"/>
            <w:vAlign w:val="center"/>
          </w:tcPr>
          <w:p w:rsidR="00A2778D" w:rsidRPr="00AE1EEF" w:rsidRDefault="00A2778D" w:rsidP="00A240B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E1EEF">
              <w:rPr>
                <w:rFonts w:ascii="Times New Roman" w:hAnsi="Times New Roman" w:cs="Times New Roman"/>
                <w:sz w:val="24"/>
              </w:rPr>
              <w:t>30.04.2021</w:t>
            </w:r>
          </w:p>
        </w:tc>
        <w:tc>
          <w:tcPr>
            <w:tcW w:w="3216" w:type="dxa"/>
            <w:vAlign w:val="center"/>
          </w:tcPr>
          <w:p w:rsidR="00A2778D" w:rsidRPr="00AE1EEF" w:rsidRDefault="00A2778D" w:rsidP="00A240B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E1EEF">
              <w:rPr>
                <w:rFonts w:ascii="Times New Roman" w:hAnsi="Times New Roman" w:cs="Times New Roman"/>
                <w:sz w:val="24"/>
              </w:rPr>
              <w:t>18.05.2021</w:t>
            </w:r>
          </w:p>
        </w:tc>
        <w:tc>
          <w:tcPr>
            <w:tcW w:w="2803" w:type="dxa"/>
            <w:vAlign w:val="center"/>
          </w:tcPr>
          <w:p w:rsidR="00A2778D" w:rsidRPr="009C16B3" w:rsidRDefault="00A2778D" w:rsidP="00A240B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нет</w:t>
            </w:r>
          </w:p>
        </w:tc>
      </w:tr>
      <w:tr w:rsidR="00CE6B50" w:rsidRPr="009C16B3" w:rsidTr="007E5570">
        <w:tc>
          <w:tcPr>
            <w:tcW w:w="809" w:type="dxa"/>
            <w:vAlign w:val="center"/>
          </w:tcPr>
          <w:p w:rsidR="00CE6B50" w:rsidRDefault="00CE6B50" w:rsidP="00A240B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4665" w:type="dxa"/>
          </w:tcPr>
          <w:p w:rsidR="00CE6B50" w:rsidRDefault="00CE6B50" w:rsidP="00CE6B50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CE6B50">
              <w:rPr>
                <w:rFonts w:ascii="Times New Roman" w:hAnsi="Times New Roman" w:cs="Times New Roman"/>
                <w:sz w:val="24"/>
              </w:rPr>
              <w:t xml:space="preserve">Каирский региональный центр по международному коммерческому арбитражу (КРЦМКА) – </w:t>
            </w:r>
            <w:proofErr w:type="spellStart"/>
            <w:r w:rsidRPr="00CE6B50">
              <w:rPr>
                <w:rFonts w:ascii="Times New Roman" w:hAnsi="Times New Roman" w:cs="Times New Roman"/>
                <w:sz w:val="24"/>
              </w:rPr>
              <w:t>The</w:t>
            </w:r>
            <w:proofErr w:type="spellEnd"/>
            <w:r w:rsidRPr="00CE6B50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CE6B50">
              <w:rPr>
                <w:rFonts w:ascii="Times New Roman" w:hAnsi="Times New Roman" w:cs="Times New Roman"/>
                <w:sz w:val="24"/>
              </w:rPr>
              <w:t>Cairo</w:t>
            </w:r>
            <w:proofErr w:type="spellEnd"/>
            <w:r w:rsidRPr="00CE6B50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CE6B50">
              <w:rPr>
                <w:rFonts w:ascii="Times New Roman" w:hAnsi="Times New Roman" w:cs="Times New Roman"/>
                <w:sz w:val="24"/>
              </w:rPr>
              <w:lastRenderedPageBreak/>
              <w:t>Regional</w:t>
            </w:r>
            <w:proofErr w:type="spellEnd"/>
            <w:r w:rsidRPr="00CE6B50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CE6B50">
              <w:rPr>
                <w:rFonts w:ascii="Times New Roman" w:hAnsi="Times New Roman" w:cs="Times New Roman"/>
                <w:sz w:val="24"/>
              </w:rPr>
              <w:t>Centre</w:t>
            </w:r>
            <w:proofErr w:type="spellEnd"/>
            <w:r w:rsidRPr="00CE6B50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CE6B50">
              <w:rPr>
                <w:rFonts w:ascii="Times New Roman" w:hAnsi="Times New Roman" w:cs="Times New Roman"/>
                <w:sz w:val="24"/>
              </w:rPr>
              <w:t>for</w:t>
            </w:r>
            <w:proofErr w:type="spellEnd"/>
            <w:r w:rsidRPr="00CE6B50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CE6B50">
              <w:rPr>
                <w:rFonts w:ascii="Times New Roman" w:hAnsi="Times New Roman" w:cs="Times New Roman"/>
                <w:sz w:val="24"/>
              </w:rPr>
              <w:t>International</w:t>
            </w:r>
            <w:proofErr w:type="spellEnd"/>
            <w:r w:rsidRPr="00CE6B50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CE6B50">
              <w:rPr>
                <w:rFonts w:ascii="Times New Roman" w:hAnsi="Times New Roman" w:cs="Times New Roman"/>
                <w:sz w:val="24"/>
              </w:rPr>
              <w:t>Commercial</w:t>
            </w:r>
            <w:proofErr w:type="spellEnd"/>
            <w:r w:rsidRPr="00CE6B50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CE6B50">
              <w:rPr>
                <w:rFonts w:ascii="Times New Roman" w:hAnsi="Times New Roman" w:cs="Times New Roman"/>
                <w:sz w:val="24"/>
              </w:rPr>
              <w:t>Arbitration</w:t>
            </w:r>
            <w:proofErr w:type="spellEnd"/>
            <w:r w:rsidRPr="00CE6B50">
              <w:rPr>
                <w:rFonts w:ascii="Times New Roman" w:hAnsi="Times New Roman" w:cs="Times New Roman"/>
                <w:sz w:val="24"/>
              </w:rPr>
              <w:t xml:space="preserve"> (CRCICA)</w:t>
            </w:r>
          </w:p>
        </w:tc>
        <w:tc>
          <w:tcPr>
            <w:tcW w:w="4100" w:type="dxa"/>
            <w:vAlign w:val="center"/>
          </w:tcPr>
          <w:p w:rsidR="00CE6B50" w:rsidRPr="00AE1EEF" w:rsidRDefault="00CE6B50" w:rsidP="00A240B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CE6B50">
              <w:rPr>
                <w:rFonts w:ascii="Times New Roman" w:hAnsi="Times New Roman" w:cs="Times New Roman"/>
                <w:sz w:val="24"/>
              </w:rPr>
              <w:lastRenderedPageBreak/>
              <w:t>21.05.2025</w:t>
            </w:r>
          </w:p>
        </w:tc>
        <w:tc>
          <w:tcPr>
            <w:tcW w:w="3216" w:type="dxa"/>
            <w:vAlign w:val="center"/>
          </w:tcPr>
          <w:p w:rsidR="00CE6B50" w:rsidRPr="00AE1EEF" w:rsidRDefault="00CE6B50" w:rsidP="00A240B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CE6B50">
              <w:rPr>
                <w:rFonts w:ascii="Times New Roman" w:hAnsi="Times New Roman" w:cs="Times New Roman"/>
                <w:sz w:val="24"/>
              </w:rPr>
              <w:t>10.06.2025</w:t>
            </w:r>
          </w:p>
        </w:tc>
        <w:tc>
          <w:tcPr>
            <w:tcW w:w="2803" w:type="dxa"/>
            <w:vAlign w:val="center"/>
          </w:tcPr>
          <w:p w:rsidR="00CE6B50" w:rsidRDefault="00CE6B50" w:rsidP="00A240B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нет</w:t>
            </w:r>
          </w:p>
        </w:tc>
      </w:tr>
    </w:tbl>
    <w:p w:rsidR="004830CD" w:rsidRPr="00CE6B50" w:rsidRDefault="004830CD" w:rsidP="004830CD">
      <w:pPr>
        <w:jc w:val="center"/>
        <w:rPr>
          <w:rFonts w:ascii="Times New Roman" w:hAnsi="Times New Roman" w:cs="Times New Roman"/>
          <w:sz w:val="24"/>
        </w:rPr>
      </w:pPr>
    </w:p>
    <w:sectPr w:rsidR="004830CD" w:rsidRPr="00CE6B50" w:rsidSect="004830CD">
      <w:pgSz w:w="16838" w:h="11906" w:orient="landscape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549E"/>
    <w:rsid w:val="0026505F"/>
    <w:rsid w:val="004830CD"/>
    <w:rsid w:val="00633388"/>
    <w:rsid w:val="007E5570"/>
    <w:rsid w:val="009A7ED0"/>
    <w:rsid w:val="009C16B3"/>
    <w:rsid w:val="00A2778D"/>
    <w:rsid w:val="00A94545"/>
    <w:rsid w:val="00CE6B50"/>
    <w:rsid w:val="00DD5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4E1F1AA-34DC-415C-90B0-2860C14DF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830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234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Минюст России</Company>
  <LinksUpToDate>false</LinksUpToDate>
  <CharactersWithSpaces>1567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Пастухова Анастасия Евгеньевна</dc:creator>
  <cp:lastModifiedBy>Романов Анатолий Владимирович</cp:lastModifiedBy>
  <cp:revision>2</cp:revision>
  <dcterms:created xsi:type="dcterms:W3CDTF">2025-06-16T11:23:00Z</dcterms:created>
  <dcterms:modified xsi:type="dcterms:W3CDTF">2025-06-16T11:23:00Z</dcterms:modified>
</cp:coreProperties>
</file>